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shd w:val="clear" w:color="auto" w:fill="FFFFFF"/>
        <w:tblCellMar>
          <w:left w:w="0" w:type="dxa"/>
          <w:right w:w="0" w:type="dxa"/>
        </w:tblCellMar>
        <w:tblLook w:val="04A0" w:firstRow="1" w:lastRow="0" w:firstColumn="1" w:lastColumn="0" w:noHBand="0" w:noVBand="1"/>
      </w:tblPr>
      <w:tblGrid>
        <w:gridCol w:w="9000"/>
      </w:tblGrid>
      <w:tr w:rsidR="00E24F60" w:rsidRPr="003F4B63" w14:paraId="76895664" w14:textId="77777777" w:rsidTr="00E24F60">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E24F60" w:rsidRPr="003F4B63" w14:paraId="28D8EBCC" w14:textId="77777777">
              <w:tc>
                <w:tcPr>
                  <w:tcW w:w="0" w:type="auto"/>
                  <w:tcMar>
                    <w:top w:w="0" w:type="dxa"/>
                    <w:left w:w="900" w:type="dxa"/>
                    <w:bottom w:w="0" w:type="dxa"/>
                    <w:right w:w="900" w:type="dxa"/>
                  </w:tcMar>
                  <w:vAlign w:val="center"/>
                  <w:hideMark/>
                </w:tcPr>
                <w:tbl>
                  <w:tblPr>
                    <w:tblW w:w="5000" w:type="pct"/>
                    <w:tblCellMar>
                      <w:left w:w="0" w:type="dxa"/>
                      <w:right w:w="0" w:type="dxa"/>
                    </w:tblCellMar>
                    <w:tblLook w:val="04A0" w:firstRow="1" w:lastRow="0" w:firstColumn="1" w:lastColumn="0" w:noHBand="0" w:noVBand="1"/>
                  </w:tblPr>
                  <w:tblGrid>
                    <w:gridCol w:w="7200"/>
                  </w:tblGrid>
                  <w:tr w:rsidR="00E24F60" w:rsidRPr="003F4B63" w14:paraId="1F51A3D8" w14:textId="77777777">
                    <w:tc>
                      <w:tcPr>
                        <w:tcW w:w="0" w:type="auto"/>
                        <w:tcMar>
                          <w:top w:w="30" w:type="dxa"/>
                          <w:left w:w="0" w:type="dxa"/>
                          <w:bottom w:w="30" w:type="dxa"/>
                          <w:right w:w="0" w:type="dxa"/>
                        </w:tcMar>
                        <w:vAlign w:val="center"/>
                        <w:hideMark/>
                      </w:tcPr>
                      <w:p w14:paraId="5D263F27" w14:textId="77777777" w:rsidR="00E24F60" w:rsidRPr="003F4B63" w:rsidRDefault="00E24F60">
                        <w:pPr>
                          <w:jc w:val="center"/>
                          <w:rPr>
                            <w:sz w:val="24"/>
                            <w:szCs w:val="24"/>
                          </w:rPr>
                        </w:pPr>
                        <w:r w:rsidRPr="003F4B63">
                          <w:rPr>
                            <w:rFonts w:ascii="Arial" w:hAnsi="Arial" w:cs="Arial"/>
                            <w:b/>
                            <w:bCs/>
                            <w:color w:val="29293A"/>
                            <w:spacing w:val="8"/>
                            <w:sz w:val="24"/>
                            <w:szCs w:val="24"/>
                          </w:rPr>
                          <w:t>Prantls Leseempfehlungen</w:t>
                        </w:r>
                      </w:p>
                    </w:tc>
                  </w:tr>
                </w:tbl>
                <w:p w14:paraId="1A0765CB" w14:textId="77777777" w:rsidR="00E24F60" w:rsidRPr="003F4B63" w:rsidRDefault="00E24F60">
                  <w:pPr>
                    <w:rPr>
                      <w:rFonts w:ascii="Times New Roman" w:eastAsia="Times New Roman" w:hAnsi="Times New Roman" w:cs="Times New Roman"/>
                      <w:sz w:val="24"/>
                      <w:szCs w:val="24"/>
                    </w:rPr>
                  </w:pPr>
                </w:p>
              </w:tc>
            </w:tr>
          </w:tbl>
          <w:p w14:paraId="24DABCCA" w14:textId="77777777" w:rsidR="00E24F60" w:rsidRPr="003F4B63" w:rsidRDefault="00E24F60">
            <w:pPr>
              <w:rPr>
                <w:rFonts w:ascii="Times New Roman" w:eastAsia="Times New Roman" w:hAnsi="Times New Roman" w:cs="Times New Roman"/>
                <w:sz w:val="24"/>
                <w:szCs w:val="24"/>
              </w:rPr>
            </w:pPr>
          </w:p>
        </w:tc>
      </w:tr>
      <w:tr w:rsidR="00E24F60" w:rsidRPr="003F4B63" w14:paraId="37F2D406" w14:textId="77777777" w:rsidTr="00E24F60">
        <w:trPr>
          <w:trHeight w:val="525"/>
        </w:trPr>
        <w:tc>
          <w:tcPr>
            <w:tcW w:w="0" w:type="auto"/>
            <w:shd w:val="clear" w:color="auto" w:fill="FFFFFF"/>
            <w:vAlign w:val="center"/>
            <w:hideMark/>
          </w:tcPr>
          <w:p w14:paraId="0DC41F56" w14:textId="77777777" w:rsidR="00E24F60" w:rsidRPr="003F4B63" w:rsidRDefault="00E24F60">
            <w:pPr>
              <w:spacing w:line="15" w:lineRule="atLeast"/>
              <w:rPr>
                <w:sz w:val="24"/>
                <w:szCs w:val="24"/>
              </w:rPr>
            </w:pPr>
            <w:r w:rsidRPr="003F4B63">
              <w:rPr>
                <w:noProof/>
                <w:color w:val="000000"/>
                <w:sz w:val="24"/>
                <w:szCs w:val="24"/>
              </w:rPr>
              <w:drawing>
                <wp:inline distT="0" distB="0" distL="0" distR="0" wp14:anchorId="351FCCC7" wp14:editId="1FFFB8D9">
                  <wp:extent cx="9525" cy="33337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333375"/>
                          </a:xfrm>
                          <a:prstGeom prst="rect">
                            <a:avLst/>
                          </a:prstGeom>
                          <a:noFill/>
                          <a:ln>
                            <a:noFill/>
                          </a:ln>
                        </pic:spPr>
                      </pic:pic>
                    </a:graphicData>
                  </a:graphic>
                </wp:inline>
              </w:drawing>
            </w:r>
          </w:p>
        </w:tc>
      </w:tr>
      <w:tr w:rsidR="00E24F60" w:rsidRPr="003F4B63" w14:paraId="6E2AA538" w14:textId="77777777" w:rsidTr="00E24F60">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E24F60" w:rsidRPr="003F4B63" w14:paraId="762D12E2" w14:textId="77777777">
              <w:tc>
                <w:tcPr>
                  <w:tcW w:w="0" w:type="auto"/>
                  <w:tcMar>
                    <w:top w:w="0" w:type="dxa"/>
                    <w:left w:w="900" w:type="dxa"/>
                    <w:bottom w:w="0" w:type="dxa"/>
                    <w:right w:w="900" w:type="dxa"/>
                  </w:tcMar>
                  <w:vAlign w:val="center"/>
                  <w:hideMark/>
                </w:tcPr>
                <w:tbl>
                  <w:tblPr>
                    <w:tblW w:w="5000" w:type="pct"/>
                    <w:tblCellMar>
                      <w:left w:w="0" w:type="dxa"/>
                      <w:right w:w="0" w:type="dxa"/>
                    </w:tblCellMar>
                    <w:tblLook w:val="04A0" w:firstRow="1" w:lastRow="0" w:firstColumn="1" w:lastColumn="0" w:noHBand="0" w:noVBand="1"/>
                  </w:tblPr>
                  <w:tblGrid>
                    <w:gridCol w:w="7200"/>
                  </w:tblGrid>
                  <w:tr w:rsidR="00E24F60" w:rsidRPr="003F4B63" w14:paraId="215A3419"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7200"/>
                        </w:tblGrid>
                        <w:tr w:rsidR="00E24F60" w:rsidRPr="003F4B63" w14:paraId="599EE6A7" w14:textId="77777777" w:rsidTr="00E24F60">
                          <w:trPr>
                            <w:trHeight w:val="80"/>
                          </w:trPr>
                          <w:tc>
                            <w:tcPr>
                              <w:tcW w:w="0" w:type="auto"/>
                              <w:vAlign w:val="center"/>
                              <w:hideMark/>
                            </w:tcPr>
                            <w:p w14:paraId="79BCC357" w14:textId="77777777" w:rsidR="00E24F60" w:rsidRPr="003F4B63" w:rsidRDefault="00E24F60">
                              <w:pPr>
                                <w:rPr>
                                  <w:sz w:val="24"/>
                                  <w:szCs w:val="24"/>
                                </w:rPr>
                              </w:pPr>
                              <w:r w:rsidRPr="003F4B63">
                                <w:rPr>
                                  <w:rFonts w:ascii="Arial" w:hAnsi="Arial" w:cs="Arial"/>
                                  <w:b/>
                                  <w:bCs/>
                                  <w:color w:val="29293A"/>
                                  <w:spacing w:val="8"/>
                                  <w:sz w:val="24"/>
                                  <w:szCs w:val="24"/>
                                </w:rPr>
                                <w:t>Mit dem Schlimmsten rechnen und an das Beste glauben</w:t>
                              </w:r>
                            </w:p>
                          </w:tc>
                        </w:tr>
                        <w:tr w:rsidR="00E24F60" w:rsidRPr="003F4B63" w14:paraId="5E7405BE" w14:textId="77777777">
                          <w:trPr>
                            <w:trHeight w:val="75"/>
                          </w:trPr>
                          <w:tc>
                            <w:tcPr>
                              <w:tcW w:w="0" w:type="auto"/>
                              <w:vAlign w:val="center"/>
                              <w:hideMark/>
                            </w:tcPr>
                            <w:p w14:paraId="40036CDC" w14:textId="77777777" w:rsidR="00E24F60" w:rsidRPr="003F4B63" w:rsidRDefault="00E24F60">
                              <w:pPr>
                                <w:spacing w:line="15" w:lineRule="atLeast"/>
                                <w:rPr>
                                  <w:sz w:val="24"/>
                                  <w:szCs w:val="24"/>
                                </w:rPr>
                              </w:pPr>
                              <w:r w:rsidRPr="003F4B63">
                                <w:rPr>
                                  <w:noProof/>
                                  <w:sz w:val="24"/>
                                  <w:szCs w:val="24"/>
                                </w:rPr>
                                <w:drawing>
                                  <wp:inline distT="0" distB="0" distL="0" distR="0" wp14:anchorId="30632C68" wp14:editId="67AB67DF">
                                    <wp:extent cx="9525" cy="4762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E24F60" w:rsidRPr="003F4B63" w14:paraId="292B0FAE" w14:textId="77777777">
                          <w:tc>
                            <w:tcPr>
                              <w:tcW w:w="0" w:type="auto"/>
                              <w:vAlign w:val="center"/>
                              <w:hideMark/>
                            </w:tcPr>
                            <w:p w14:paraId="50FF7DCC" w14:textId="77777777" w:rsidR="00E24F60" w:rsidRPr="003F4B63" w:rsidRDefault="00E24F60">
                              <w:pPr>
                                <w:rPr>
                                  <w:rFonts w:ascii="Arial" w:hAnsi="Arial" w:cs="Arial"/>
                                  <w:color w:val="29293A"/>
                                  <w:sz w:val="24"/>
                                  <w:szCs w:val="24"/>
                                </w:rPr>
                              </w:pPr>
                              <w:r w:rsidRPr="003F4B63">
                                <w:rPr>
                                  <w:rFonts w:ascii="Arial" w:hAnsi="Arial" w:cs="Arial"/>
                                  <w:color w:val="29293A"/>
                                  <w:sz w:val="24"/>
                                  <w:szCs w:val="24"/>
                                </w:rPr>
                                <w:t xml:space="preserve">Es gibt viele schön aufgeputzte Bücher mit kleinen Sinnsprüchen und angeblich großen Weisheiten, die dann "Geschenkbücher" heißen und die einem in ihrer anspruchsheischenden Anspruchslosigkeit unglaublich auf den Geist gehen. Das Büchlein von Bernhard Winter gehört nicht dazu. Es ist nicht aufgeputzt, sondern von der Künstlerin Miri Haddick anregend bebildert. Es heißt "Kurz und glücklich" und enthält vierzig lyrische Sentenzen, "Mantras", wie der Autor sie nennt. Es sind bezaubernde Texte, die einen lächeln lassen. Bernhard Winter, der Autor, ist Psychotherapeut. Er war, von 2002 bis 2011, hochengagierter SPD-Bürgermeister von Markt Schwaben und ist Initiator der wunderbaren Reihe "Sonntagsbegegnungen", die schon über hundert Mal prominente Menschen zum klugen Gespräch zusammengebracht hat. Zuletzt, Anfang Juli, parlierten der Schriftsteller Paul Maar und der Grünen-Politiker Cem Özdemir kurzweilig durch den Vormittag. Winters Büchlein ist nicht mehr ganz neu, es ist vor zwei Jahren erschienen; </w:t>
                              </w:r>
                              <w:hyperlink r:id="rId5" w:tgtFrame="_blank" w:history="1">
                                <w:r w:rsidRPr="003F4B63">
                                  <w:rPr>
                                    <w:rStyle w:val="Hyperlink"/>
                                    <w:rFonts w:ascii="Arial" w:hAnsi="Arial" w:cs="Arial"/>
                                    <w:sz w:val="24"/>
                                    <w:szCs w:val="24"/>
                                    <w:u w:val="single"/>
                                  </w:rPr>
                                  <w:t>die Kollegin Rita Baedeker hat es damals begeistert besprochen</w:t>
                                </w:r>
                              </w:hyperlink>
                              <w:r w:rsidRPr="003F4B63">
                                <w:rPr>
                                  <w:rFonts w:ascii="Arial" w:hAnsi="Arial" w:cs="Arial"/>
                                  <w:color w:val="29293A"/>
                                  <w:sz w:val="24"/>
                                  <w:szCs w:val="24"/>
                                </w:rPr>
                                <w:t>. Es hier heute noch einmal zu erwähnen, hat einen besonderen Grund: Bernhard Winter, der ein guter Freund des verstorbenen SPD-Politikers Hans-Jochen Vogel war, hat dem Landesverband seiner Partei mitgeteilt, dass er die SPD verlässt - nach 39 Jahren Mitgliedschaft.</w:t>
                              </w:r>
                              <w:r w:rsidRPr="003F4B63">
                                <w:rPr>
                                  <w:rFonts w:ascii="Arial" w:hAnsi="Arial" w:cs="Arial"/>
                                  <w:color w:val="29293A"/>
                                  <w:sz w:val="24"/>
                                  <w:szCs w:val="24"/>
                                </w:rPr>
                                <w:br/>
                              </w:r>
                              <w:r w:rsidRPr="003F4B63">
                                <w:rPr>
                                  <w:rFonts w:ascii="Arial" w:hAnsi="Arial" w:cs="Arial"/>
                                  <w:color w:val="29293A"/>
                                  <w:sz w:val="24"/>
                                  <w:szCs w:val="24"/>
                                </w:rPr>
                                <w:br/>
                                <w:t>Zu den lyrischen Weisheiten von Bernhard Winter gehört der Satz: "Mit dem Schlimmsten rechnen und an das Beste glauben". Im Fall der SPD hilft Winter auch sein eigener Satz nicht mehr. Er hat mir erklärt: "39 Jahre habe ich dieser Partei gedient. Aber in Zukunft kann und will ich mit meiner Kraft, meiner Fantasie und meinem Herzblut nicht weiter eine Parteihülle mit Herrn Kühnert als Inhalt konservieren. Also bin ich neu aufgebrochen, um zusammen mit mir nahestehenden Menschen an saftigeren Orten etwas für das Weiterleben von Gerechtigkeit, Solidarität und Freiheit zu tun." Er sei einst zur SPD gegangen, weil dort Menschen waren, mit denen er sich verbunden gefühlt habe. Herbert Wehner, Hans-Jochen Vogel, Helmut Schmidt, später Regine Hildebrandt seien Vorbilder für ihn gewesen.</w:t>
                              </w:r>
                            </w:p>
                            <w:p w14:paraId="14E31F68" w14:textId="6A3A9617" w:rsidR="003F4B63" w:rsidRDefault="00E24F60">
                              <w:pPr>
                                <w:rPr>
                                  <w:rFonts w:ascii="Arial" w:hAnsi="Arial" w:cs="Arial"/>
                                  <w:color w:val="29293A"/>
                                  <w:sz w:val="24"/>
                                  <w:szCs w:val="24"/>
                                </w:rPr>
                              </w:pPr>
                              <w:r w:rsidRPr="003F4B63">
                                <w:rPr>
                                  <w:rFonts w:ascii="Arial" w:hAnsi="Arial" w:cs="Arial"/>
                                  <w:color w:val="29293A"/>
                                  <w:sz w:val="24"/>
                                  <w:szCs w:val="24"/>
                                </w:rPr>
                                <w:t xml:space="preserve"> </w:t>
                              </w:r>
                              <w:r w:rsidRPr="003F4B63">
                                <w:rPr>
                                  <w:rFonts w:ascii="Arial" w:hAnsi="Arial" w:cs="Arial"/>
                                  <w:color w:val="29293A"/>
                                  <w:sz w:val="24"/>
                                  <w:szCs w:val="24"/>
                                </w:rPr>
                                <w:br/>
                                <w:t>Im Oktober 1982, ein paar Tag nach dem Sturz von Helmut Schmidt, war er als 28-jähriger Student zur SPD gegangen, aus Sympathie für ihn und aus Trotz gegen Helmut Kohl - "vor allem aber, weil ich etwas tun wollte, dass es in unserem Land gerecht zugeht: dass die kleinen Leute es nicht schlechter haben als die Mächtigen. In meiner Münchner Anfangszeit habe ich vor allem Plakate geklebt und den Erfahreneren zugehört. Und gewusst und akzeptiert, dass so das Verändern der Welt beginnt." Bernhard Winter ist eine ehrliche Haut mit einem liebevollen roten Herzen. Es erfasst einen das Mitleid mit der SPD, wenn solche Leute austreten.</w:t>
                              </w:r>
                            </w:p>
                            <w:p w14:paraId="649CF307" w14:textId="77777777" w:rsidR="003F4B63" w:rsidRPr="003F4B63" w:rsidRDefault="003F4B63">
                              <w:pPr>
                                <w:rPr>
                                  <w:rFonts w:ascii="Arial" w:hAnsi="Arial" w:cs="Arial"/>
                                  <w:color w:val="29293A"/>
                                  <w:sz w:val="8"/>
                                  <w:szCs w:val="8"/>
                                </w:rPr>
                              </w:pPr>
                            </w:p>
                            <w:p w14:paraId="240D315A" w14:textId="1519359E" w:rsidR="00E24F60" w:rsidRPr="003F4B63" w:rsidRDefault="00E24F60">
                              <w:pPr>
                                <w:rPr>
                                  <w:sz w:val="24"/>
                                  <w:szCs w:val="24"/>
                                </w:rPr>
                              </w:pPr>
                              <w:r w:rsidRPr="003F4B63">
                                <w:rPr>
                                  <w:rFonts w:ascii="Arial" w:hAnsi="Arial" w:cs="Arial"/>
                                  <w:b/>
                                  <w:bCs/>
                                  <w:color w:val="29293A"/>
                                  <w:sz w:val="20"/>
                                  <w:szCs w:val="20"/>
                                </w:rPr>
                                <w:t xml:space="preserve">Bernhard Winter, </w:t>
                              </w:r>
                              <w:r w:rsidRPr="003F4B63">
                                <w:rPr>
                                  <w:rStyle w:val="Hervorhebung"/>
                                  <w:rFonts w:ascii="Arial" w:hAnsi="Arial" w:cs="Arial"/>
                                  <w:b/>
                                  <w:bCs/>
                                  <w:i w:val="0"/>
                                  <w:iCs w:val="0"/>
                                  <w:color w:val="29293A"/>
                                  <w:sz w:val="20"/>
                                  <w:szCs w:val="20"/>
                                </w:rPr>
                                <w:t>Kurz und glücklich. Vierzig Mantras für ein gutes Leben</w:t>
                              </w:r>
                              <w:r w:rsidRPr="003F4B63">
                                <w:rPr>
                                  <w:rFonts w:ascii="Arial" w:hAnsi="Arial" w:cs="Arial"/>
                                  <w:b/>
                                  <w:bCs/>
                                  <w:color w:val="29293A"/>
                                  <w:sz w:val="20"/>
                                  <w:szCs w:val="20"/>
                                </w:rPr>
                                <w:t>. Das Buch hat 80 Seiten, es ist im Verlag Neue Stadt erschienen und kostet 18 Euro.</w:t>
                              </w:r>
                              <w:r w:rsidRPr="003F4B63">
                                <w:rPr>
                                  <w:rFonts w:ascii="Arial" w:hAnsi="Arial" w:cs="Arial"/>
                                  <w:color w:val="29293A"/>
                                  <w:sz w:val="24"/>
                                  <w:szCs w:val="24"/>
                                </w:rPr>
                                <w:t xml:space="preserve"> </w:t>
                              </w:r>
                            </w:p>
                          </w:tc>
                        </w:tr>
                        <w:tr w:rsidR="00E24F60" w:rsidRPr="003F4B63" w14:paraId="0B42FB6B" w14:textId="77777777">
                          <w:trPr>
                            <w:trHeight w:val="240"/>
                          </w:trPr>
                          <w:tc>
                            <w:tcPr>
                              <w:tcW w:w="0" w:type="auto"/>
                              <w:vAlign w:val="center"/>
                              <w:hideMark/>
                            </w:tcPr>
                            <w:p w14:paraId="740552B6" w14:textId="77777777" w:rsidR="00E24F60" w:rsidRPr="003F4B63" w:rsidRDefault="00E24F60">
                              <w:pPr>
                                <w:spacing w:line="15" w:lineRule="atLeast"/>
                                <w:rPr>
                                  <w:sz w:val="16"/>
                                  <w:szCs w:val="16"/>
                                </w:rPr>
                              </w:pPr>
                              <w:r w:rsidRPr="003F4B63">
                                <w:rPr>
                                  <w:noProof/>
                                  <w:sz w:val="24"/>
                                  <w:szCs w:val="24"/>
                                </w:rPr>
                                <w:drawing>
                                  <wp:inline distT="0" distB="0" distL="0" distR="0" wp14:anchorId="35BCCAE7" wp14:editId="26C0C12F">
                                    <wp:extent cx="9525" cy="1524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152400"/>
                                            </a:xfrm>
                                            <a:prstGeom prst="rect">
                                              <a:avLst/>
                                            </a:prstGeom>
                                            <a:noFill/>
                                            <a:ln>
                                              <a:noFill/>
                                            </a:ln>
                                          </pic:spPr>
                                        </pic:pic>
                                      </a:graphicData>
                                    </a:graphic>
                                  </wp:inline>
                                </w:drawing>
                              </w:r>
                            </w:p>
                          </w:tc>
                        </w:tr>
                        <w:tr w:rsidR="00E24F60" w:rsidRPr="003F4B63" w14:paraId="75673C74"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1358"/>
                                <w:gridCol w:w="405"/>
                              </w:tblGrid>
                              <w:tr w:rsidR="00E24F60" w:rsidRPr="003F4B63" w14:paraId="26A734A2" w14:textId="77777777">
                                <w:tc>
                                  <w:tcPr>
                                    <w:tcW w:w="0" w:type="auto"/>
                                    <w:vAlign w:val="center"/>
                                    <w:hideMark/>
                                  </w:tcPr>
                                  <w:p w14:paraId="23B3EF8B" w14:textId="77777777" w:rsidR="00E24F60" w:rsidRPr="003F4B63" w:rsidRDefault="003F4B63">
                                    <w:pPr>
                                      <w:rPr>
                                        <w:sz w:val="24"/>
                                        <w:szCs w:val="24"/>
                                      </w:rPr>
                                    </w:pPr>
                                    <w:hyperlink r:id="rId6" w:tgtFrame="_blank" w:history="1">
                                      <w:r w:rsidR="00E24F60" w:rsidRPr="003F4B63">
                                        <w:rPr>
                                          <w:rStyle w:val="Hyperlink"/>
                                          <w:rFonts w:ascii="Arial" w:hAnsi="Arial" w:cs="Arial"/>
                                          <w:b/>
                                          <w:bCs/>
                                          <w:spacing w:val="23"/>
                                          <w:sz w:val="24"/>
                                          <w:szCs w:val="24"/>
                                        </w:rPr>
                                        <w:t>Zum Buc</w:t>
                                      </w:r>
                                      <w:r w:rsidR="00E24F60" w:rsidRPr="003F4B63">
                                        <w:rPr>
                                          <w:rStyle w:val="Hyperlink"/>
                                          <w:rFonts w:ascii="Arial" w:hAnsi="Arial" w:cs="Arial"/>
                                          <w:b/>
                                          <w:bCs/>
                                          <w:spacing w:val="23"/>
                                          <w:sz w:val="24"/>
                                          <w:szCs w:val="24"/>
                                        </w:rPr>
                                        <w:t>h</w:t>
                                      </w:r>
                                    </w:hyperlink>
                                  </w:p>
                                </w:tc>
                                <w:tc>
                                  <w:tcPr>
                                    <w:tcW w:w="0" w:type="auto"/>
                                    <w:tcMar>
                                      <w:top w:w="120" w:type="dxa"/>
                                      <w:left w:w="120" w:type="dxa"/>
                                      <w:bottom w:w="120" w:type="dxa"/>
                                      <w:right w:w="0" w:type="dxa"/>
                                    </w:tcMar>
                                    <w:vAlign w:val="center"/>
                                    <w:hideMark/>
                                  </w:tcPr>
                                  <w:p w14:paraId="48F97FC3" w14:textId="77777777" w:rsidR="00E24F60" w:rsidRPr="003F4B63" w:rsidRDefault="00E24F60">
                                    <w:pPr>
                                      <w:spacing w:line="15" w:lineRule="atLeast"/>
                                      <w:rPr>
                                        <w:sz w:val="24"/>
                                        <w:szCs w:val="24"/>
                                      </w:rPr>
                                    </w:pPr>
                                    <w:r w:rsidRPr="003F4B63">
                                      <w:rPr>
                                        <w:noProof/>
                                        <w:color w:val="29293A"/>
                                        <w:sz w:val="24"/>
                                        <w:szCs w:val="24"/>
                                      </w:rPr>
                                      <w:drawing>
                                        <wp:inline distT="0" distB="0" distL="0" distR="0" wp14:anchorId="4BBFE391" wp14:editId="1B8A140F">
                                          <wp:extent cx="180975" cy="95250"/>
                                          <wp:effectExtent l="0" t="0" r="0" b="0"/>
                                          <wp:docPr id="2" name="Grafik 2">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95250"/>
                                                  </a:xfrm>
                                                  <a:prstGeom prst="rect">
                                                    <a:avLst/>
                                                  </a:prstGeom>
                                                  <a:noFill/>
                                                  <a:ln>
                                                    <a:noFill/>
                                                  </a:ln>
                                                </pic:spPr>
                                              </pic:pic>
                                            </a:graphicData>
                                          </a:graphic>
                                        </wp:inline>
                                      </w:drawing>
                                    </w:r>
                                  </w:p>
                                </w:tc>
                              </w:tr>
                              <w:tr w:rsidR="00E24F60" w:rsidRPr="003F4B63" w14:paraId="0CB75E06" w14:textId="77777777">
                                <w:trPr>
                                  <w:trHeight w:val="30"/>
                                </w:trPr>
                                <w:tc>
                                  <w:tcPr>
                                    <w:tcW w:w="0" w:type="auto"/>
                                    <w:gridSpan w:val="2"/>
                                    <w:shd w:val="clear" w:color="auto" w:fill="29293A"/>
                                    <w:vAlign w:val="center"/>
                                    <w:hideMark/>
                                  </w:tcPr>
                                  <w:p w14:paraId="779AE7B1" w14:textId="77777777" w:rsidR="00E24F60" w:rsidRPr="003F4B63" w:rsidRDefault="00E24F60">
                                    <w:pPr>
                                      <w:spacing w:line="15" w:lineRule="atLeast"/>
                                      <w:rPr>
                                        <w:sz w:val="24"/>
                                        <w:szCs w:val="24"/>
                                      </w:rPr>
                                    </w:pPr>
                                    <w:r w:rsidRPr="003F4B63">
                                      <w:rPr>
                                        <w:noProof/>
                                        <w:color w:val="FFFFFF"/>
                                        <w:sz w:val="24"/>
                                        <w:szCs w:val="24"/>
                                      </w:rPr>
                                      <w:drawing>
                                        <wp:inline distT="0" distB="0" distL="0" distR="0" wp14:anchorId="1B3049E2" wp14:editId="268F330D">
                                          <wp:extent cx="9525" cy="190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tc>
                              </w:tr>
                            </w:tbl>
                            <w:p w14:paraId="719ED53B" w14:textId="77777777" w:rsidR="00E24F60" w:rsidRPr="003F4B63" w:rsidRDefault="00E24F60">
                              <w:pPr>
                                <w:rPr>
                                  <w:rFonts w:ascii="Times New Roman" w:eastAsia="Times New Roman" w:hAnsi="Times New Roman" w:cs="Times New Roman"/>
                                  <w:sz w:val="24"/>
                                  <w:szCs w:val="24"/>
                                </w:rPr>
                              </w:pPr>
                            </w:p>
                          </w:tc>
                        </w:tr>
                      </w:tbl>
                      <w:p w14:paraId="14873072" w14:textId="77777777" w:rsidR="00E24F60" w:rsidRPr="003F4B63" w:rsidRDefault="00E24F60">
                        <w:pPr>
                          <w:rPr>
                            <w:rFonts w:ascii="Times New Roman" w:eastAsia="Times New Roman" w:hAnsi="Times New Roman" w:cs="Times New Roman"/>
                            <w:sz w:val="24"/>
                            <w:szCs w:val="24"/>
                          </w:rPr>
                        </w:pPr>
                      </w:p>
                    </w:tc>
                  </w:tr>
                </w:tbl>
                <w:p w14:paraId="1C8D5CC8" w14:textId="77777777" w:rsidR="00E24F60" w:rsidRPr="003F4B63" w:rsidRDefault="00E24F60">
                  <w:pPr>
                    <w:rPr>
                      <w:rFonts w:ascii="Times New Roman" w:eastAsia="Times New Roman" w:hAnsi="Times New Roman" w:cs="Times New Roman"/>
                      <w:sz w:val="24"/>
                      <w:szCs w:val="24"/>
                    </w:rPr>
                  </w:pPr>
                </w:p>
              </w:tc>
            </w:tr>
          </w:tbl>
          <w:p w14:paraId="3A3A6B14" w14:textId="77777777" w:rsidR="00E24F60" w:rsidRPr="003F4B63" w:rsidRDefault="00E24F60">
            <w:pPr>
              <w:rPr>
                <w:rFonts w:ascii="Times New Roman" w:eastAsia="Times New Roman" w:hAnsi="Times New Roman" w:cs="Times New Roman"/>
                <w:sz w:val="24"/>
                <w:szCs w:val="24"/>
              </w:rPr>
            </w:pPr>
          </w:p>
        </w:tc>
      </w:tr>
    </w:tbl>
    <w:p w14:paraId="75115611" w14:textId="4C7F79F6" w:rsidR="002C5717" w:rsidRPr="003F4B63" w:rsidRDefault="002C5717" w:rsidP="003F4B63">
      <w:pPr>
        <w:rPr>
          <w:sz w:val="24"/>
          <w:szCs w:val="24"/>
        </w:rPr>
      </w:pPr>
    </w:p>
    <w:sectPr w:rsidR="002C5717" w:rsidRPr="003F4B63" w:rsidSect="00E24F60">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E24F60"/>
    <w:rsid w:val="002C5717"/>
    <w:rsid w:val="003F4B63"/>
    <w:rsid w:val="00E24F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61AAA"/>
  <w15:chartTrackingRefBased/>
  <w15:docId w15:val="{2B6AF62F-4E6F-4197-85B0-8D982C82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4F60"/>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24F60"/>
    <w:rPr>
      <w:b w:val="0"/>
      <w:bCs w:val="0"/>
      <w:strike w:val="0"/>
      <w:dstrike w:val="0"/>
      <w:color w:val="29293A"/>
      <w:u w:val="none"/>
      <w:effect w:val="none"/>
    </w:rPr>
  </w:style>
  <w:style w:type="character" w:styleId="Hervorhebung">
    <w:name w:val="Emphasis"/>
    <w:basedOn w:val="Absatz-Standardschriftart"/>
    <w:uiPriority w:val="20"/>
    <w:qFormat/>
    <w:rsid w:val="00E24F60"/>
    <w:rPr>
      <w:i/>
      <w:iCs/>
    </w:rPr>
  </w:style>
  <w:style w:type="character" w:styleId="BesuchterLink">
    <w:name w:val="FollowedHyperlink"/>
    <w:basedOn w:val="Absatz-Standardschriftart"/>
    <w:uiPriority w:val="99"/>
    <w:semiHidden/>
    <w:unhideWhenUsed/>
    <w:rsid w:val="003F4B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1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nl-link.sueddeutsche.de/u/nrd.php?p=uvOdr3MOEH_33803_2576890_1_15&amp;ems_l=4268707&amp;i=1&amp;d=MjEzNDI5NjM1%7CdXZPZHIzTU9FSA%3D%3D%7Cd3d3Lm5ldWVzdGFkdC5jb20lMkZhcnRpa2VsXzU0OC5haHRtbA%3D%3D%7CUHJhbnRsc19CbGlja18wMTA4MjE%3D%7C&amp;_esuh=_11_304a16ba92b3c870a31e634d402785bc553833bffa3135592cf2d8a3cc35f0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l-link.sueddeutsche.de/u/nrd.php?p=uvOdr3MOEH_33803_2576890_1_13&amp;ems_l=4268707&amp;i=1&amp;d=MjEzNDI5NjMz%7CdXZPZHIzTU9FSA%3D%3D%7Cd3d3Lm5ldWVzdGFkdC5jb20lMkZhcnRpa2VsXzU0OC5haHRtbA%3D%3D%7CUHJhbnRsc19CbGlja18wMTA4MjE%3D%7C&amp;_esuh=_11_92c6e5827481f2ed10ccd11e38b277a1b6e86b4c9d53aa2833d7d629ccf72a03" TargetMode="External"/><Relationship Id="rId5" Type="http://schemas.openxmlformats.org/officeDocument/2006/relationships/hyperlink" Target="https://nl-link.sueddeutsche.de/u/nrd.php?p=uvOdr3MOEH_33803_2576890_1_17&amp;ems_l=4268707&amp;i=1&amp;d=MjEzNDI5NjM3%7CdXZPZHIzTU9FSA%3D%3D%7Cd3d3LnN1ZWRkZXV0c2NoZS5kZSUyRm11ZW5jaGVuJTJGZWJlcnNiZXJnJTJGZ2VidW5kZW5lLWdlZGljaHRlLXJlaXNlcm91dGVuLXp1bS1yZWdlbmJvZ2VuLTEuNDA0NzIwMQ%3D%3D%7CUHJhbnRsc19CbGlja18wMTA4MjE%3D%7C&amp;_esuh=_11_f7e9a654117d2936dc9e3241052f580d8470d4754925df0db9c197a1d1056698"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3267</Characters>
  <Application>Microsoft Office Word</Application>
  <DocSecurity>0</DocSecurity>
  <Lines>27</Lines>
  <Paragraphs>7</Paragraphs>
  <ScaleCrop>false</ScaleCrop>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Winter</dc:creator>
  <cp:keywords/>
  <dc:description/>
  <cp:lastModifiedBy>Bernhard Winter</cp:lastModifiedBy>
  <cp:revision>2</cp:revision>
  <cp:lastPrinted>2021-08-03T07:32:00Z</cp:lastPrinted>
  <dcterms:created xsi:type="dcterms:W3CDTF">2021-08-03T07:20:00Z</dcterms:created>
  <dcterms:modified xsi:type="dcterms:W3CDTF">2021-08-03T07:32:00Z</dcterms:modified>
</cp:coreProperties>
</file>